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6A40" w14:textId="77777777" w:rsidR="004B79B3" w:rsidRPr="0081606D" w:rsidRDefault="004B79B3" w:rsidP="004B79B3">
      <w:pPr>
        <w:spacing w:after="120" w:line="240" w:lineRule="auto"/>
        <w:jc w:val="center"/>
        <w:rPr>
          <w:rFonts w:cstheme="minorHAnsi"/>
          <w:b/>
          <w:bCs/>
        </w:rPr>
      </w:pPr>
      <w:r w:rsidRPr="0081606D">
        <w:rPr>
          <w:rFonts w:cstheme="minorHAnsi"/>
          <w:b/>
          <w:bCs/>
        </w:rPr>
        <w:t>SUPUESTO PRÁCTICO</w:t>
      </w:r>
      <w:r>
        <w:rPr>
          <w:rFonts w:cstheme="minorHAnsi"/>
          <w:b/>
          <w:bCs/>
        </w:rPr>
        <w:t xml:space="preserve"> Nº 1</w:t>
      </w:r>
    </w:p>
    <w:p w14:paraId="193902A3" w14:textId="77777777" w:rsidR="003A5854" w:rsidRPr="003A5854" w:rsidRDefault="003A5854" w:rsidP="00CC77D7">
      <w:pPr>
        <w:jc w:val="both"/>
      </w:pPr>
      <w:r w:rsidRPr="003A5854">
        <w:t>Durante una inspección posterior al vuelo realizada a una aeronave no tripulada de 950 kg de masa máxima al despegue (MTOW), se ha detectado un daño en la interfaz híbrida del estabilizador, específicamente en la unión del larguero principal con el herraje metálico de anclaje al fuselaje.</w:t>
      </w:r>
    </w:p>
    <w:p w14:paraId="601E81C0" w14:textId="360A0A2A" w:rsidR="003A5854" w:rsidRPr="003A5854" w:rsidRDefault="003A5854" w:rsidP="007132A7">
      <w:r w:rsidRPr="003A5854">
        <w:t> El larguero está fabricado con material compuesto preimpregnado (</w:t>
      </w:r>
      <w:r w:rsidRPr="003A5854">
        <w:rPr>
          <w:i/>
          <w:iCs/>
        </w:rPr>
        <w:t>prepreg</w:t>
      </w:r>
      <w:r w:rsidRPr="003A5854">
        <w:t>) de fibra de carbono de alta resistencia, mientras que el herraje es de una aleación metálica estructural. La aeronave dispone de un sistema de monitorización de salud estructural (SHM) que registra de forma continua las cargas en los componentes críticos. El análisis detallado de los datos de telemetría concluye que en ningún momento de la operación se han superado los esfuerzos límite (</w:t>
      </w:r>
      <w:r w:rsidRPr="003A5854">
        <w:rPr>
          <w:i/>
          <w:iCs/>
        </w:rPr>
        <w:t>limit loads</w:t>
      </w:r>
      <w:r w:rsidRPr="003A5854">
        <w:t>) de diseño.</w:t>
      </w:r>
    </w:p>
    <w:p w14:paraId="6662381E" w14:textId="51CA9206" w:rsidR="003A5854" w:rsidRPr="003A5854" w:rsidRDefault="003A5854" w:rsidP="007132A7">
      <w:r w:rsidRPr="003A5854">
        <w:t> Desarrolle los siguientes puntos aplicando el marco regulator</w:t>
      </w:r>
      <w:r w:rsidR="004359D5">
        <w:t>io de aeronavegabilidad vigente.</w:t>
      </w:r>
    </w:p>
    <w:p w14:paraId="610FB3F5" w14:textId="77777777" w:rsidR="003A5854" w:rsidRPr="003A5854" w:rsidRDefault="003A5854" w:rsidP="00CC77D7">
      <w:pPr>
        <w:jc w:val="both"/>
      </w:pPr>
      <w:r w:rsidRPr="003A5854">
        <w:t> </w:t>
      </w:r>
    </w:p>
    <w:p w14:paraId="3A95F113" w14:textId="139D28E0" w:rsidR="004126AE" w:rsidRPr="004126AE" w:rsidRDefault="009448A5" w:rsidP="00CC77D7">
      <w:pPr>
        <w:jc w:val="both"/>
        <w:rPr>
          <w:b/>
        </w:rPr>
      </w:pPr>
      <w:r>
        <w:rPr>
          <w:b/>
        </w:rPr>
        <w:t>1</w:t>
      </w:r>
      <w:r w:rsidR="003A5854" w:rsidRPr="004126AE">
        <w:rPr>
          <w:b/>
        </w:rPr>
        <w:t>.</w:t>
      </w:r>
      <w:r w:rsidR="00544F73">
        <w:rPr>
          <w:b/>
        </w:rPr>
        <w:t xml:space="preserve"> Clasificación del vehículo</w:t>
      </w:r>
      <w:r w:rsidR="003A5854" w:rsidRPr="004126AE">
        <w:rPr>
          <w:b/>
        </w:rPr>
        <w:t>  </w:t>
      </w:r>
    </w:p>
    <w:p w14:paraId="4232F8C3" w14:textId="41C7DC0A" w:rsidR="004126AE" w:rsidRDefault="004126AE" w:rsidP="004126AE">
      <w:pPr>
        <w:ind w:left="708"/>
        <w:jc w:val="both"/>
      </w:pPr>
      <w:r>
        <w:t>Con la información aportada, clasifique la aeronave dentro de las categorias habituales, e indique posibles usos y princ</w:t>
      </w:r>
      <w:r w:rsidR="009448A5">
        <w:t>i</w:t>
      </w:r>
      <w:r>
        <w:t>pal normativa que le aplica.</w:t>
      </w:r>
    </w:p>
    <w:p w14:paraId="1DE4CFC1" w14:textId="72FAC3B1" w:rsidR="004126AE" w:rsidRDefault="004126AE" w:rsidP="004126AE">
      <w:pPr>
        <w:ind w:left="708"/>
        <w:jc w:val="both"/>
      </w:pPr>
    </w:p>
    <w:p w14:paraId="1FE736FE" w14:textId="2D68B33B" w:rsidR="009448A5" w:rsidRPr="004359D5" w:rsidRDefault="009448A5" w:rsidP="004359D5">
      <w:pPr>
        <w:jc w:val="both"/>
        <w:rPr>
          <w:b/>
        </w:rPr>
      </w:pPr>
      <w:r w:rsidRPr="009448A5">
        <w:rPr>
          <w:b/>
        </w:rPr>
        <w:t>2. Elija dos de las siguientes tres preguntas para responder</w:t>
      </w:r>
    </w:p>
    <w:p w14:paraId="70636DF0" w14:textId="2E5F91F2" w:rsidR="007132A7" w:rsidRDefault="009448A5" w:rsidP="00CC77D7">
      <w:pPr>
        <w:jc w:val="both"/>
      </w:pPr>
      <w:r>
        <w:t>2a</w:t>
      </w:r>
      <w:r w:rsidR="004126AE">
        <w:t xml:space="preserve">. </w:t>
      </w:r>
      <w:r w:rsidR="003A5854" w:rsidRPr="003A5854">
        <w:t> </w:t>
      </w:r>
      <w:r w:rsidR="003A5854" w:rsidRPr="003A5854">
        <w:rPr>
          <w:b/>
          <w:bCs/>
        </w:rPr>
        <w:t>Acciones inmediatas y diagnóstico:</w:t>
      </w:r>
      <w:r w:rsidR="003A5854" w:rsidRPr="003A5854">
        <w:t> </w:t>
      </w:r>
    </w:p>
    <w:p w14:paraId="5D382E0B" w14:textId="64BA48A3" w:rsidR="007132A7" w:rsidRDefault="00116908" w:rsidP="007132A7">
      <w:pPr>
        <w:ind w:left="708"/>
        <w:jc w:val="both"/>
      </w:pPr>
      <w:r>
        <w:t>Defina</w:t>
      </w:r>
      <w:r w:rsidR="003A5854" w:rsidRPr="003A5854">
        <w:t xml:space="preserve"> un plan integrado de Ensayos No Destructivos (END) idóneo para delimitar el alcance del daño tanto en el material compuesto como en el componente metálico.</w:t>
      </w:r>
    </w:p>
    <w:p w14:paraId="3478A391" w14:textId="48B52D72" w:rsidR="003A5854" w:rsidRPr="003A5854" w:rsidRDefault="003A5854" w:rsidP="004359D5">
      <w:pPr>
        <w:ind w:left="708"/>
        <w:jc w:val="both"/>
      </w:pPr>
      <w:r w:rsidRPr="003A5854">
        <w:t>Especifique la documentación de ingeniería necesaria para registrar la discrepancia estructural.</w:t>
      </w:r>
    </w:p>
    <w:p w14:paraId="7769ED00" w14:textId="236EACB5" w:rsidR="007132A7" w:rsidRPr="009448A5" w:rsidRDefault="003A5854" w:rsidP="00CC77D7">
      <w:pPr>
        <w:jc w:val="both"/>
      </w:pPr>
      <w:r w:rsidRPr="009448A5">
        <w:t>2</w:t>
      </w:r>
      <w:r w:rsidR="009448A5" w:rsidRPr="009448A5">
        <w:t>b</w:t>
      </w:r>
      <w:r w:rsidRPr="009448A5">
        <w:t>.    </w:t>
      </w:r>
      <w:r w:rsidRPr="009448A5">
        <w:rPr>
          <w:b/>
          <w:bCs/>
        </w:rPr>
        <w:t>Análisis de causas e investigación técnica:</w:t>
      </w:r>
      <w:r w:rsidRPr="009448A5">
        <w:t> </w:t>
      </w:r>
    </w:p>
    <w:p w14:paraId="7963D0DD" w14:textId="510371CF" w:rsidR="003A5854" w:rsidRPr="003A5854" w:rsidRDefault="003A5854" w:rsidP="004359D5">
      <w:pPr>
        <w:ind w:left="708"/>
        <w:jc w:val="both"/>
      </w:pPr>
      <w:r w:rsidRPr="009448A5">
        <w:t xml:space="preserve">Justifique técnicamente </w:t>
      </w:r>
      <w:r w:rsidR="00116908">
        <w:t xml:space="preserve">los principales </w:t>
      </w:r>
      <w:r w:rsidRPr="009448A5">
        <w:t xml:space="preserve">modos de fallo o mecanismos de degradación física, ajenos a la sobrecarga estática, </w:t>
      </w:r>
      <w:r w:rsidR="00116908">
        <w:t xml:space="preserve">que </w:t>
      </w:r>
      <w:r w:rsidRPr="009448A5">
        <w:t>han podido originar el daño en esta unión híbrida metal-compuesto.</w:t>
      </w:r>
    </w:p>
    <w:p w14:paraId="264DAD80" w14:textId="100A224D" w:rsidR="007132A7" w:rsidRDefault="009448A5" w:rsidP="00CC77D7">
      <w:pPr>
        <w:jc w:val="both"/>
      </w:pPr>
      <w:r>
        <w:t>2c</w:t>
      </w:r>
      <w:r w:rsidR="003A5854" w:rsidRPr="003A5854">
        <w:t>.    </w:t>
      </w:r>
      <w:r w:rsidR="003A5854" w:rsidRPr="003A5854">
        <w:rPr>
          <w:b/>
          <w:bCs/>
        </w:rPr>
        <w:t>Restitución de la aeronavegabilidad:</w:t>
      </w:r>
      <w:r w:rsidR="003A5854" w:rsidRPr="003A5854">
        <w:t> </w:t>
      </w:r>
    </w:p>
    <w:p w14:paraId="3418C9FF" w14:textId="453A5DC5" w:rsidR="007132A7" w:rsidRDefault="00116908" w:rsidP="007132A7">
      <w:pPr>
        <w:ind w:left="708"/>
        <w:jc w:val="both"/>
      </w:pPr>
      <w:r>
        <w:t>Indique</w:t>
      </w:r>
      <w:bookmarkStart w:id="0" w:name="_GoBack"/>
      <w:bookmarkEnd w:id="0"/>
      <w:r w:rsidR="003A5854" w:rsidRPr="003A5854">
        <w:t xml:space="preserve"> el proceso de diseño, análisis y aprobación de la reparación estructural. </w:t>
      </w:r>
    </w:p>
    <w:p w14:paraId="05509CF5" w14:textId="063ABFB0" w:rsidR="003A5854" w:rsidRPr="003A5854" w:rsidRDefault="003A5854" w:rsidP="007132A7">
      <w:pPr>
        <w:ind w:left="708"/>
        <w:jc w:val="both"/>
      </w:pPr>
      <w:r w:rsidRPr="003A5854">
        <w:t xml:space="preserve">Planifique las comprobaciones o ensayos requeridos y especifique qué organizaciones certificadas e hitos normativos </w:t>
      </w:r>
      <w:r w:rsidR="004126AE">
        <w:t>deben intervenir para que el UAV</w:t>
      </w:r>
      <w:r w:rsidRPr="003A5854">
        <w:t xml:space="preserve"> recupere formalmente su condición de vuelo seguro.</w:t>
      </w:r>
    </w:p>
    <w:sectPr w:rsidR="003A5854" w:rsidRPr="003A5854" w:rsidSect="0059619B">
      <w:headerReference w:type="default" r:id="rId7"/>
      <w:pgSz w:w="11906" w:h="16838"/>
      <w:pgMar w:top="1418" w:right="1588" w:bottom="1418" w:left="158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64ED" w14:textId="77777777" w:rsidR="005C264A" w:rsidRDefault="005C264A" w:rsidP="005C264A">
      <w:pPr>
        <w:spacing w:after="0" w:line="240" w:lineRule="auto"/>
      </w:pPr>
      <w:r>
        <w:separator/>
      </w:r>
    </w:p>
  </w:endnote>
  <w:endnote w:type="continuationSeparator" w:id="0">
    <w:p w14:paraId="0A73B398" w14:textId="77777777" w:rsidR="005C264A" w:rsidRDefault="005C264A" w:rsidP="005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5F616" w14:textId="77777777" w:rsidR="005C264A" w:rsidRDefault="005C264A" w:rsidP="005C264A">
      <w:pPr>
        <w:spacing w:after="0" w:line="240" w:lineRule="auto"/>
      </w:pPr>
      <w:r>
        <w:separator/>
      </w:r>
    </w:p>
  </w:footnote>
  <w:footnote w:type="continuationSeparator" w:id="0">
    <w:p w14:paraId="18A11652" w14:textId="77777777" w:rsidR="005C264A" w:rsidRDefault="005C264A" w:rsidP="005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87"/>
      <w:gridCol w:w="2261"/>
      <w:gridCol w:w="972"/>
    </w:tblGrid>
    <w:tr w:rsidR="005C264A" w14:paraId="48B2EAE5" w14:textId="77777777" w:rsidTr="00184071">
      <w:tc>
        <w:tcPr>
          <w:tcW w:w="5524" w:type="dxa"/>
        </w:tcPr>
        <w:p w14:paraId="55CC6780" w14:textId="7E9373B2" w:rsidR="005C264A" w:rsidRPr="00184071" w:rsidRDefault="00184071" w:rsidP="00184071">
          <w:pPr>
            <w:pStyle w:val="Encabezado"/>
            <w:jc w:val="both"/>
            <w:rPr>
              <w:color w:val="0070C0"/>
              <w:sz w:val="16"/>
              <w:szCs w:val="16"/>
            </w:rPr>
          </w:pPr>
          <w:r w:rsidRPr="00184071">
            <w:rPr>
              <w:color w:val="0070C0"/>
              <w:sz w:val="16"/>
              <w:szCs w:val="16"/>
            </w:rPr>
            <w:t>Pruebas selectivas para ingreso, por el sistema de promoción interna, en la Escala de Técnicos Superiores Especializados de los Organismos Públicos de Investigación, convocadas por resolución de 26 de diciembre de 2025, de la Subsecretaría del Ministerio de Ciencia e Innovación (BOE núm. 314 de 30 de diciembre de 2025)</w:t>
          </w:r>
        </w:p>
      </w:tc>
      <w:tc>
        <w:tcPr>
          <w:tcW w:w="2268" w:type="dxa"/>
        </w:tcPr>
        <w:p w14:paraId="1384740B" w14:textId="77777777" w:rsidR="00184071" w:rsidRPr="00184071" w:rsidRDefault="00184071" w:rsidP="00184071">
          <w:pPr>
            <w:pStyle w:val="Encabezado"/>
            <w:jc w:val="both"/>
            <w:rPr>
              <w:color w:val="0070C0"/>
              <w:sz w:val="16"/>
              <w:szCs w:val="16"/>
            </w:rPr>
          </w:pPr>
          <w:r w:rsidRPr="00184071">
            <w:rPr>
              <w:color w:val="0070C0"/>
              <w:sz w:val="16"/>
              <w:szCs w:val="16"/>
            </w:rPr>
            <w:t xml:space="preserve">Tribunal Calificador Nº 9 </w:t>
          </w:r>
        </w:p>
        <w:p w14:paraId="411E014C" w14:textId="77777777" w:rsidR="005C264A" w:rsidRDefault="00184071" w:rsidP="00184071">
          <w:pPr>
            <w:pStyle w:val="Encabezado"/>
            <w:jc w:val="both"/>
            <w:rPr>
              <w:color w:val="0070C0"/>
              <w:sz w:val="16"/>
              <w:szCs w:val="16"/>
            </w:rPr>
          </w:pPr>
          <w:r w:rsidRPr="00184071">
            <w:rPr>
              <w:color w:val="0070C0"/>
              <w:sz w:val="16"/>
              <w:szCs w:val="16"/>
            </w:rPr>
            <w:t>(Área Global A9 - Tecnología Aeroespacial, Naval y de Defensa)</w:t>
          </w:r>
        </w:p>
        <w:p w14:paraId="1DAB8819" w14:textId="61DD4890" w:rsidR="00184071" w:rsidRPr="00184071" w:rsidRDefault="003A5854" w:rsidP="00184071">
          <w:pPr>
            <w:pStyle w:val="Encabezado"/>
            <w:jc w:val="both"/>
            <w:rPr>
              <w:b/>
              <w:color w:val="0070C0"/>
            </w:rPr>
          </w:pPr>
          <w:r>
            <w:rPr>
              <w:b/>
              <w:color w:val="0070C0"/>
              <w:sz w:val="16"/>
              <w:szCs w:val="16"/>
            </w:rPr>
            <w:t>Área Especialización: T5</w:t>
          </w:r>
        </w:p>
      </w:tc>
      <w:tc>
        <w:tcPr>
          <w:tcW w:w="928" w:type="dxa"/>
        </w:tcPr>
        <w:p w14:paraId="5B8B4319" w14:textId="77777777" w:rsidR="005C264A" w:rsidRPr="00965F1C" w:rsidRDefault="00965F1C" w:rsidP="00965F1C">
          <w:pPr>
            <w:pStyle w:val="Encabezado"/>
            <w:spacing w:before="120"/>
            <w:jc w:val="center"/>
            <w:rPr>
              <w:color w:val="0070C0"/>
              <w:sz w:val="20"/>
              <w:szCs w:val="20"/>
            </w:rPr>
          </w:pPr>
          <w:r w:rsidRPr="00965F1C">
            <w:rPr>
              <w:color w:val="0070C0"/>
              <w:sz w:val="20"/>
              <w:szCs w:val="20"/>
            </w:rPr>
            <w:t>Ejercicio nº 3</w:t>
          </w:r>
        </w:p>
        <w:p w14:paraId="5890DE74" w14:textId="258E6FC1" w:rsidR="00965F1C" w:rsidRPr="00184071" w:rsidRDefault="00965F1C" w:rsidP="00965F1C">
          <w:pPr>
            <w:pStyle w:val="Encabezado"/>
            <w:spacing w:before="120"/>
            <w:jc w:val="center"/>
            <w:rPr>
              <w:color w:val="0070C0"/>
              <w:sz w:val="16"/>
              <w:szCs w:val="16"/>
            </w:rPr>
          </w:pPr>
          <w:r w:rsidRPr="00965F1C">
            <w:rPr>
              <w:color w:val="0070C0"/>
              <w:sz w:val="20"/>
              <w:szCs w:val="20"/>
            </w:rPr>
            <w:t>S.P. 1</w:t>
          </w:r>
        </w:p>
      </w:tc>
    </w:tr>
  </w:tbl>
  <w:p w14:paraId="7D25FB01" w14:textId="77777777" w:rsidR="005C264A" w:rsidRDefault="005C26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46B"/>
    <w:multiLevelType w:val="hybridMultilevel"/>
    <w:tmpl w:val="17EE53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5B0445"/>
    <w:multiLevelType w:val="multilevel"/>
    <w:tmpl w:val="F34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77037"/>
    <w:multiLevelType w:val="multilevel"/>
    <w:tmpl w:val="99A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E1D67"/>
    <w:multiLevelType w:val="hybridMultilevel"/>
    <w:tmpl w:val="3E56BDD2"/>
    <w:lvl w:ilvl="0" w:tplc="3C4A2B9A">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3E1FC9"/>
    <w:multiLevelType w:val="multilevel"/>
    <w:tmpl w:val="2BD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B5281"/>
    <w:multiLevelType w:val="multilevel"/>
    <w:tmpl w:val="DBAA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C5"/>
    <w:rsid w:val="0007683C"/>
    <w:rsid w:val="00116908"/>
    <w:rsid w:val="00184071"/>
    <w:rsid w:val="00197A85"/>
    <w:rsid w:val="001A3980"/>
    <w:rsid w:val="001B55CC"/>
    <w:rsid w:val="001C0FF6"/>
    <w:rsid w:val="001C75A4"/>
    <w:rsid w:val="001E65A6"/>
    <w:rsid w:val="002208F5"/>
    <w:rsid w:val="002315E6"/>
    <w:rsid w:val="00306E0C"/>
    <w:rsid w:val="00311D40"/>
    <w:rsid w:val="003A5854"/>
    <w:rsid w:val="004126AE"/>
    <w:rsid w:val="004359D5"/>
    <w:rsid w:val="0046125F"/>
    <w:rsid w:val="00462204"/>
    <w:rsid w:val="004B79B3"/>
    <w:rsid w:val="00544F73"/>
    <w:rsid w:val="00570BF6"/>
    <w:rsid w:val="0059619B"/>
    <w:rsid w:val="005B5FDD"/>
    <w:rsid w:val="005C264A"/>
    <w:rsid w:val="005C2E64"/>
    <w:rsid w:val="006272F4"/>
    <w:rsid w:val="00680F3C"/>
    <w:rsid w:val="006A3D3B"/>
    <w:rsid w:val="007049B4"/>
    <w:rsid w:val="007132A7"/>
    <w:rsid w:val="00787FC5"/>
    <w:rsid w:val="007B2F42"/>
    <w:rsid w:val="009448A5"/>
    <w:rsid w:val="00965F1C"/>
    <w:rsid w:val="009800B6"/>
    <w:rsid w:val="009B36F1"/>
    <w:rsid w:val="009C078B"/>
    <w:rsid w:val="00BE5CC0"/>
    <w:rsid w:val="00C056F2"/>
    <w:rsid w:val="00CC77D7"/>
    <w:rsid w:val="00D75428"/>
    <w:rsid w:val="00DA594D"/>
    <w:rsid w:val="00EC46C7"/>
    <w:rsid w:val="00F83202"/>
    <w:rsid w:val="00F90231"/>
    <w:rsid w:val="00FE43DD"/>
    <w:rsid w:val="00FF4A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C85F"/>
  <w15:chartTrackingRefBased/>
  <w15:docId w15:val="{D6DF163D-9CA4-4B9B-9B33-F97C5B8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65"/>
  </w:style>
  <w:style w:type="paragraph" w:styleId="Ttulo1">
    <w:name w:val="heading 1"/>
    <w:basedOn w:val="Normal"/>
    <w:next w:val="Normal"/>
    <w:link w:val="Ttulo1Car"/>
    <w:uiPriority w:val="9"/>
    <w:qFormat/>
    <w:rsid w:val="0078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F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F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F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F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F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F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F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F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F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F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F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F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F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F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F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FC5"/>
    <w:rPr>
      <w:rFonts w:eastAsiaTheme="majorEastAsia" w:cstheme="majorBidi"/>
      <w:color w:val="272727" w:themeColor="text1" w:themeTint="D8"/>
    </w:rPr>
  </w:style>
  <w:style w:type="paragraph" w:styleId="Ttulo">
    <w:name w:val="Title"/>
    <w:basedOn w:val="Normal"/>
    <w:next w:val="Normal"/>
    <w:link w:val="TtuloCar"/>
    <w:uiPriority w:val="10"/>
    <w:qFormat/>
    <w:rsid w:val="0078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F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F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FC5"/>
    <w:pPr>
      <w:spacing w:before="160"/>
      <w:jc w:val="center"/>
    </w:pPr>
    <w:rPr>
      <w:i/>
      <w:iCs/>
      <w:color w:val="404040" w:themeColor="text1" w:themeTint="BF"/>
    </w:rPr>
  </w:style>
  <w:style w:type="character" w:customStyle="1" w:styleId="CitaCar">
    <w:name w:val="Cita Car"/>
    <w:basedOn w:val="Fuentedeprrafopredeter"/>
    <w:link w:val="Cita"/>
    <w:uiPriority w:val="29"/>
    <w:rsid w:val="00787FC5"/>
    <w:rPr>
      <w:i/>
      <w:iCs/>
      <w:color w:val="404040" w:themeColor="text1" w:themeTint="BF"/>
    </w:rPr>
  </w:style>
  <w:style w:type="paragraph" w:styleId="Prrafodelista">
    <w:name w:val="List Paragraph"/>
    <w:basedOn w:val="Normal"/>
    <w:uiPriority w:val="34"/>
    <w:qFormat/>
    <w:rsid w:val="00787FC5"/>
    <w:pPr>
      <w:ind w:left="720"/>
      <w:contextualSpacing/>
    </w:pPr>
  </w:style>
  <w:style w:type="character" w:styleId="nfasisintenso">
    <w:name w:val="Intense Emphasis"/>
    <w:basedOn w:val="Fuentedeprrafopredeter"/>
    <w:uiPriority w:val="21"/>
    <w:qFormat/>
    <w:rsid w:val="00787FC5"/>
    <w:rPr>
      <w:i/>
      <w:iCs/>
      <w:color w:val="0F4761" w:themeColor="accent1" w:themeShade="BF"/>
    </w:rPr>
  </w:style>
  <w:style w:type="paragraph" w:styleId="Citadestacada">
    <w:name w:val="Intense Quote"/>
    <w:basedOn w:val="Normal"/>
    <w:next w:val="Normal"/>
    <w:link w:val="CitadestacadaCar"/>
    <w:uiPriority w:val="30"/>
    <w:qFormat/>
    <w:rsid w:val="0078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FC5"/>
    <w:rPr>
      <w:i/>
      <w:iCs/>
      <w:color w:val="0F4761" w:themeColor="accent1" w:themeShade="BF"/>
    </w:rPr>
  </w:style>
  <w:style w:type="character" w:styleId="Referenciaintensa">
    <w:name w:val="Intense Reference"/>
    <w:basedOn w:val="Fuentedeprrafopredeter"/>
    <w:uiPriority w:val="32"/>
    <w:qFormat/>
    <w:rsid w:val="00787FC5"/>
    <w:rPr>
      <w:b/>
      <w:bCs/>
      <w:smallCaps/>
      <w:color w:val="0F4761" w:themeColor="accent1" w:themeShade="BF"/>
      <w:spacing w:val="5"/>
    </w:rPr>
  </w:style>
  <w:style w:type="paragraph" w:styleId="Encabezado">
    <w:name w:val="header"/>
    <w:basedOn w:val="Normal"/>
    <w:link w:val="EncabezadoCar"/>
    <w:uiPriority w:val="99"/>
    <w:unhideWhenUsed/>
    <w:rsid w:val="005C26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64A"/>
  </w:style>
  <w:style w:type="paragraph" w:styleId="Piedepgina">
    <w:name w:val="footer"/>
    <w:basedOn w:val="Normal"/>
    <w:link w:val="PiedepginaCar"/>
    <w:uiPriority w:val="99"/>
    <w:unhideWhenUsed/>
    <w:rsid w:val="005C26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64A"/>
  </w:style>
  <w:style w:type="table" w:styleId="Tablaconcuadrcula">
    <w:name w:val="Table Grid"/>
    <w:basedOn w:val="Tablanormal"/>
    <w:uiPriority w:val="39"/>
    <w:rsid w:val="005C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32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3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 Mosquera Vazquez</dc:creator>
  <cp:keywords/>
  <dc:description/>
  <cp:lastModifiedBy>Eduardo de Miguel Llanes</cp:lastModifiedBy>
  <cp:revision>16</cp:revision>
  <cp:lastPrinted>2026-06-17T13:45:00Z</cp:lastPrinted>
  <dcterms:created xsi:type="dcterms:W3CDTF">2026-06-16T06:49:00Z</dcterms:created>
  <dcterms:modified xsi:type="dcterms:W3CDTF">2026-06-17T13:49:00Z</dcterms:modified>
</cp:coreProperties>
</file>