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D6A40" w14:textId="77777777" w:rsidR="004B79B3" w:rsidRPr="0081606D" w:rsidRDefault="004B79B3" w:rsidP="004B79B3">
      <w:pPr>
        <w:spacing w:after="120" w:line="240" w:lineRule="auto"/>
        <w:jc w:val="center"/>
        <w:rPr>
          <w:rFonts w:cstheme="minorHAnsi"/>
          <w:b/>
          <w:bCs/>
        </w:rPr>
      </w:pPr>
      <w:r w:rsidRPr="0081606D">
        <w:rPr>
          <w:rFonts w:cstheme="minorHAnsi"/>
          <w:b/>
          <w:bCs/>
        </w:rPr>
        <w:t>SUPUESTO PRÁCTICO</w:t>
      </w:r>
      <w:r>
        <w:rPr>
          <w:rFonts w:cstheme="minorHAnsi"/>
          <w:b/>
          <w:bCs/>
        </w:rPr>
        <w:t xml:space="preserve"> Nº 1</w:t>
      </w:r>
    </w:p>
    <w:p w14:paraId="0691FA23" w14:textId="77777777" w:rsidR="004B79B3" w:rsidRPr="006B120C" w:rsidRDefault="004B79B3" w:rsidP="00FF4A65">
      <w:pPr>
        <w:jc w:val="both"/>
      </w:pPr>
      <w:r w:rsidRPr="006B120C">
        <w:t>Un fabricante de vehículos pretende obtener la homologación UE de tipo conforme al Reglamento (UE) 2018/858 para un nuevo turismo de categoría M1 equipado con un motor de combustión interna de gasolina de inyección directa y sobrealimentación.</w:t>
      </w:r>
    </w:p>
    <w:p w14:paraId="2935BEDF" w14:textId="77777777" w:rsidR="004B79B3" w:rsidRPr="006B120C" w:rsidRDefault="004B79B3" w:rsidP="004B79B3">
      <w:r w:rsidRPr="006B120C">
        <w:t>El vehículo dispone de las siguientes características técnicas:</w:t>
      </w:r>
    </w:p>
    <w:p w14:paraId="0DE846A8" w14:textId="77777777" w:rsidR="004B79B3" w:rsidRPr="006B120C" w:rsidRDefault="004B79B3" w:rsidP="004B79B3">
      <w:pPr>
        <w:numPr>
          <w:ilvl w:val="0"/>
          <w:numId w:val="3"/>
        </w:numPr>
      </w:pPr>
      <w:r w:rsidRPr="006B120C">
        <w:t xml:space="preserve">Categoría: M1 </w:t>
      </w:r>
    </w:p>
    <w:p w14:paraId="22EB661D" w14:textId="77777777" w:rsidR="004B79B3" w:rsidRPr="006B120C" w:rsidRDefault="004B79B3" w:rsidP="004B79B3">
      <w:pPr>
        <w:numPr>
          <w:ilvl w:val="0"/>
          <w:numId w:val="3"/>
        </w:numPr>
      </w:pPr>
      <w:r w:rsidRPr="006B120C">
        <w:t xml:space="preserve">Combustible: gasolina E10 </w:t>
      </w:r>
    </w:p>
    <w:p w14:paraId="3BB91A29" w14:textId="77777777" w:rsidR="004B79B3" w:rsidRPr="006B120C" w:rsidRDefault="004B79B3" w:rsidP="004B79B3">
      <w:pPr>
        <w:numPr>
          <w:ilvl w:val="0"/>
          <w:numId w:val="3"/>
        </w:numPr>
      </w:pPr>
      <w:r w:rsidRPr="006B120C">
        <w:t xml:space="preserve">Cilindrada: 1332 cm³ </w:t>
      </w:r>
    </w:p>
    <w:p w14:paraId="472D7681" w14:textId="77777777" w:rsidR="004B79B3" w:rsidRPr="006B120C" w:rsidRDefault="004B79B3" w:rsidP="004B79B3">
      <w:pPr>
        <w:numPr>
          <w:ilvl w:val="0"/>
          <w:numId w:val="3"/>
        </w:numPr>
      </w:pPr>
      <w:r w:rsidRPr="006B120C">
        <w:t>Potencia máxima: 96 kW a 5000 min</w:t>
      </w:r>
      <w:r w:rsidRPr="006B120C">
        <w:rPr>
          <w:rFonts w:ascii="Cambria Math" w:hAnsi="Cambria Math" w:cs="Cambria Math"/>
        </w:rPr>
        <w:t>⁻</w:t>
      </w:r>
      <w:r w:rsidRPr="006B120C">
        <w:rPr>
          <w:rFonts w:ascii="Aptos" w:hAnsi="Aptos" w:cs="Aptos"/>
        </w:rPr>
        <w:t>¹</w:t>
      </w:r>
      <w:r w:rsidRPr="006B120C">
        <w:t xml:space="preserve"> </w:t>
      </w:r>
    </w:p>
    <w:p w14:paraId="36280403" w14:textId="77777777" w:rsidR="004B79B3" w:rsidRPr="006B120C" w:rsidRDefault="004B79B3" w:rsidP="004B79B3">
      <w:pPr>
        <w:numPr>
          <w:ilvl w:val="0"/>
          <w:numId w:val="3"/>
        </w:numPr>
      </w:pPr>
      <w:r w:rsidRPr="006B120C">
        <w:t xml:space="preserve">Caja de cambios automática de 8 velocidades </w:t>
      </w:r>
    </w:p>
    <w:p w14:paraId="382EB611" w14:textId="77777777" w:rsidR="004B79B3" w:rsidRPr="006B120C" w:rsidRDefault="004B79B3" w:rsidP="004B79B3">
      <w:pPr>
        <w:numPr>
          <w:ilvl w:val="0"/>
          <w:numId w:val="3"/>
        </w:numPr>
      </w:pPr>
      <w:r w:rsidRPr="006B120C">
        <w:t xml:space="preserve">Masa en orden de marcha: 1475 kg </w:t>
      </w:r>
    </w:p>
    <w:p w14:paraId="730B6EE2" w14:textId="77777777" w:rsidR="004B79B3" w:rsidRPr="006B120C" w:rsidRDefault="004B79B3" w:rsidP="004B79B3">
      <w:pPr>
        <w:numPr>
          <w:ilvl w:val="0"/>
          <w:numId w:val="3"/>
        </w:numPr>
      </w:pPr>
      <w:r w:rsidRPr="006B120C">
        <w:t xml:space="preserve">Masa máxima técnicamente admisible: 1960 kg </w:t>
      </w:r>
    </w:p>
    <w:p w14:paraId="18A9C399" w14:textId="77777777" w:rsidR="004B79B3" w:rsidRPr="006B120C" w:rsidRDefault="004B79B3" w:rsidP="004B79B3">
      <w:pPr>
        <w:numPr>
          <w:ilvl w:val="0"/>
          <w:numId w:val="3"/>
        </w:numPr>
      </w:pPr>
      <w:r w:rsidRPr="006B120C">
        <w:t xml:space="preserve">Velocidad máxima: 198 km/h </w:t>
      </w:r>
    </w:p>
    <w:p w14:paraId="43C182D9" w14:textId="77777777" w:rsidR="004B79B3" w:rsidRPr="006B120C" w:rsidRDefault="004B79B3" w:rsidP="004B79B3">
      <w:pPr>
        <w:numPr>
          <w:ilvl w:val="0"/>
          <w:numId w:val="3"/>
        </w:numPr>
      </w:pPr>
      <w:r w:rsidRPr="006B120C">
        <w:t xml:space="preserve">Sistema Start-Stop </w:t>
      </w:r>
    </w:p>
    <w:p w14:paraId="71C5967F" w14:textId="77777777" w:rsidR="004B79B3" w:rsidRPr="006B120C" w:rsidRDefault="004B79B3" w:rsidP="004B79B3">
      <w:pPr>
        <w:numPr>
          <w:ilvl w:val="0"/>
          <w:numId w:val="3"/>
        </w:numPr>
      </w:pPr>
      <w:r w:rsidRPr="006B120C">
        <w:t xml:space="preserve">Filtro de partículas gasolina (GPF) </w:t>
      </w:r>
    </w:p>
    <w:p w14:paraId="442B73E8" w14:textId="77777777" w:rsidR="004B79B3" w:rsidRPr="006B120C" w:rsidRDefault="004B79B3" w:rsidP="004B79B3">
      <w:r w:rsidRPr="006B120C">
        <w:t>Los parámetros de resistencia al avance en carretera determinados mediante ensayo coast-down son:</w:t>
      </w:r>
    </w:p>
    <w:p w14:paraId="520A692A" w14:textId="77777777" w:rsidR="004B79B3" w:rsidRPr="006B120C" w:rsidRDefault="004B79B3" w:rsidP="004B79B3">
      <w:pPr>
        <w:numPr>
          <w:ilvl w:val="0"/>
          <w:numId w:val="4"/>
        </w:numPr>
      </w:pPr>
      <w:r w:rsidRPr="006B120C">
        <w:t xml:space="preserve">f0 = 79,6 N </w:t>
      </w:r>
    </w:p>
    <w:p w14:paraId="747160F2" w14:textId="77777777" w:rsidR="004B79B3" w:rsidRPr="006B120C" w:rsidRDefault="004B79B3" w:rsidP="004B79B3">
      <w:pPr>
        <w:numPr>
          <w:ilvl w:val="0"/>
          <w:numId w:val="4"/>
        </w:numPr>
      </w:pPr>
      <w:r w:rsidRPr="006B120C">
        <w:t xml:space="preserve">f1 = 0,548 N/(km/h) </w:t>
      </w:r>
    </w:p>
    <w:p w14:paraId="3CA12B4F" w14:textId="77777777" w:rsidR="004B79B3" w:rsidRPr="006B120C" w:rsidRDefault="004B79B3" w:rsidP="004B79B3">
      <w:pPr>
        <w:numPr>
          <w:ilvl w:val="0"/>
          <w:numId w:val="4"/>
        </w:numPr>
      </w:pPr>
      <w:r w:rsidRPr="006B120C">
        <w:t xml:space="preserve">f2 = 0,03418 N/(km/h)² </w:t>
      </w:r>
    </w:p>
    <w:p w14:paraId="0E07583C" w14:textId="77777777" w:rsidR="004B79B3" w:rsidRPr="006B120C" w:rsidRDefault="004B79B3" w:rsidP="004B79B3">
      <w:r w:rsidRPr="006B120C">
        <w:t>El fabricante ha proporcionado:</w:t>
      </w:r>
    </w:p>
    <w:p w14:paraId="4AD0A3CD" w14:textId="77777777" w:rsidR="004B79B3" w:rsidRPr="006B120C" w:rsidRDefault="004B79B3" w:rsidP="004B79B3">
      <w:pPr>
        <w:numPr>
          <w:ilvl w:val="0"/>
          <w:numId w:val="5"/>
        </w:numPr>
      </w:pPr>
      <w:r w:rsidRPr="006B120C">
        <w:t xml:space="preserve">Relaciones de transmisión. </w:t>
      </w:r>
    </w:p>
    <w:p w14:paraId="4128DD8B" w14:textId="77777777" w:rsidR="004B79B3" w:rsidRPr="006B120C" w:rsidRDefault="004B79B3" w:rsidP="004B79B3">
      <w:pPr>
        <w:numPr>
          <w:ilvl w:val="0"/>
          <w:numId w:val="5"/>
        </w:numPr>
      </w:pPr>
      <w:r w:rsidRPr="006B120C">
        <w:t xml:space="preserve">Datos aerodinámicos. </w:t>
      </w:r>
    </w:p>
    <w:p w14:paraId="57C7F0D1" w14:textId="77777777" w:rsidR="004B79B3" w:rsidRPr="006B120C" w:rsidRDefault="004B79B3" w:rsidP="004B79B3">
      <w:pPr>
        <w:numPr>
          <w:ilvl w:val="0"/>
          <w:numId w:val="5"/>
        </w:numPr>
      </w:pPr>
      <w:r w:rsidRPr="006B120C">
        <w:t xml:space="preserve">Configuración electrónica motor. </w:t>
      </w:r>
    </w:p>
    <w:p w14:paraId="2C6E5B2B" w14:textId="77777777" w:rsidR="004B79B3" w:rsidRDefault="004B79B3" w:rsidP="004B79B3">
      <w:pPr>
        <w:numPr>
          <w:ilvl w:val="0"/>
          <w:numId w:val="5"/>
        </w:numPr>
      </w:pPr>
      <w:r w:rsidRPr="006B120C">
        <w:t>Datos necesarios para la determinación de masas de ensayo WLTP.</w:t>
      </w:r>
    </w:p>
    <w:p w14:paraId="584300EE" w14:textId="77777777" w:rsidR="00FF4A65" w:rsidRDefault="00FF4A65" w:rsidP="00FF4A65"/>
    <w:p w14:paraId="77D52878" w14:textId="441B0DA4" w:rsidR="00FF4A65" w:rsidRPr="006B120C" w:rsidRDefault="00FF4A65" w:rsidP="00FF4A65">
      <w:r>
        <w:t xml:space="preserve">Con esta información, responda a los </w:t>
      </w:r>
      <w:r w:rsidRPr="00A54CEC">
        <w:t xml:space="preserve">puntos </w:t>
      </w:r>
      <w:r w:rsidRPr="00A54CEC">
        <w:rPr>
          <w:b/>
        </w:rPr>
        <w:t>1</w:t>
      </w:r>
      <w:r w:rsidRPr="00A54CEC">
        <w:t xml:space="preserve"> y </w:t>
      </w:r>
      <w:r w:rsidRPr="00A54CEC">
        <w:rPr>
          <w:b/>
        </w:rPr>
        <w:t>2</w:t>
      </w:r>
      <w:r>
        <w:t xml:space="preserve"> a continuación.</w:t>
      </w:r>
    </w:p>
    <w:p w14:paraId="20AC40E9" w14:textId="77777777" w:rsidR="004B79B3" w:rsidRDefault="004B79B3" w:rsidP="004B79B3">
      <w:pPr>
        <w:ind w:left="720"/>
      </w:pPr>
    </w:p>
    <w:p w14:paraId="0B42FEA5" w14:textId="77777777" w:rsidR="004B79B3" w:rsidRDefault="004B79B3" w:rsidP="00FF4A65">
      <w:pPr>
        <w:pStyle w:val="Prrafodelista"/>
        <w:numPr>
          <w:ilvl w:val="0"/>
          <w:numId w:val="6"/>
        </w:numPr>
        <w:ind w:left="340" w:hanging="170"/>
      </w:pPr>
      <w:r w:rsidRPr="006B120C">
        <w:t>Indicar los tipos de ensayo de emisiones necesarios para la homologación UE de tipo del vehículo conforme a la normativa Euro 6e vigente.</w:t>
      </w:r>
      <w:r>
        <w:t xml:space="preserve"> Describir brevemente en qué consiste cada uno de los ensayos</w:t>
      </w:r>
      <w:r w:rsidRPr="006B120C">
        <w:t>.</w:t>
      </w:r>
    </w:p>
    <w:p w14:paraId="242FA4CF" w14:textId="77777777" w:rsidR="004B79B3" w:rsidRPr="006B120C" w:rsidRDefault="004B79B3" w:rsidP="004B79B3">
      <w:pPr>
        <w:pStyle w:val="Prrafodelista"/>
      </w:pPr>
    </w:p>
    <w:p w14:paraId="52D25AC3" w14:textId="387882D5" w:rsidR="004B79B3" w:rsidRDefault="004B79B3" w:rsidP="004B79B3">
      <w:r>
        <w:br w:type="page"/>
      </w:r>
    </w:p>
    <w:p w14:paraId="6AF0C234" w14:textId="77777777" w:rsidR="004B79B3" w:rsidRPr="006B120C" w:rsidRDefault="004B79B3" w:rsidP="004B79B3">
      <w:pPr>
        <w:pStyle w:val="Prrafodelista"/>
        <w:numPr>
          <w:ilvl w:val="0"/>
          <w:numId w:val="6"/>
        </w:numPr>
        <w:ind w:left="0" w:firstLine="360"/>
      </w:pPr>
      <w:r w:rsidRPr="006B120C">
        <w:lastRenderedPageBreak/>
        <w:t>Tras la realización preliminar de los ensayos de emisiones, el laboratorio obtiene los siguientes resultados: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9"/>
        <w:gridCol w:w="1500"/>
      </w:tblGrid>
      <w:tr w:rsidR="004B79B3" w:rsidRPr="006B120C" w14:paraId="5D1F8C2D" w14:textId="77777777" w:rsidTr="00B716A9">
        <w:trPr>
          <w:tblHeader/>
          <w:tblCellSpacing w:w="15" w:type="dxa"/>
        </w:trPr>
        <w:tc>
          <w:tcPr>
            <w:tcW w:w="0" w:type="auto"/>
            <w:vAlign w:val="center"/>
            <w:hideMark/>
          </w:tcPr>
          <w:p w14:paraId="31573D27" w14:textId="77777777" w:rsidR="004B79B3" w:rsidRPr="006B120C" w:rsidRDefault="004B79B3" w:rsidP="00B716A9">
            <w:pPr>
              <w:rPr>
                <w:b/>
                <w:bCs/>
              </w:rPr>
            </w:pPr>
            <w:r w:rsidRPr="006B120C">
              <w:rPr>
                <w:b/>
                <w:bCs/>
              </w:rPr>
              <w:t>Contaminante</w:t>
            </w:r>
          </w:p>
        </w:tc>
        <w:tc>
          <w:tcPr>
            <w:tcW w:w="0" w:type="auto"/>
            <w:vAlign w:val="center"/>
            <w:hideMark/>
          </w:tcPr>
          <w:p w14:paraId="7AD1C92C" w14:textId="77777777" w:rsidR="004B79B3" w:rsidRPr="006B120C" w:rsidRDefault="004B79B3" w:rsidP="00B716A9">
            <w:pPr>
              <w:rPr>
                <w:b/>
                <w:bCs/>
              </w:rPr>
            </w:pPr>
            <w:r w:rsidRPr="006B120C">
              <w:rPr>
                <w:b/>
                <w:bCs/>
              </w:rPr>
              <w:t>Resultado</w:t>
            </w:r>
          </w:p>
        </w:tc>
      </w:tr>
      <w:tr w:rsidR="004B79B3" w:rsidRPr="006B120C" w14:paraId="3C7DAF83" w14:textId="77777777" w:rsidTr="00B716A9">
        <w:trPr>
          <w:tblCellSpacing w:w="15" w:type="dxa"/>
        </w:trPr>
        <w:tc>
          <w:tcPr>
            <w:tcW w:w="0" w:type="auto"/>
            <w:vAlign w:val="center"/>
            <w:hideMark/>
          </w:tcPr>
          <w:p w14:paraId="1E518978" w14:textId="77777777" w:rsidR="004B79B3" w:rsidRPr="006B120C" w:rsidRDefault="004B79B3" w:rsidP="00B716A9">
            <w:r w:rsidRPr="006B120C">
              <w:t>CO</w:t>
            </w:r>
          </w:p>
        </w:tc>
        <w:tc>
          <w:tcPr>
            <w:tcW w:w="0" w:type="auto"/>
            <w:vAlign w:val="center"/>
            <w:hideMark/>
          </w:tcPr>
          <w:p w14:paraId="39138262" w14:textId="77777777" w:rsidR="004B79B3" w:rsidRPr="006B120C" w:rsidRDefault="004B79B3" w:rsidP="00B716A9">
            <w:r w:rsidRPr="006B120C">
              <w:t>262,7 mg/km</w:t>
            </w:r>
          </w:p>
        </w:tc>
      </w:tr>
      <w:tr w:rsidR="004B79B3" w:rsidRPr="006B120C" w14:paraId="3A29FEDF" w14:textId="77777777" w:rsidTr="00B716A9">
        <w:trPr>
          <w:tblCellSpacing w:w="15" w:type="dxa"/>
        </w:trPr>
        <w:tc>
          <w:tcPr>
            <w:tcW w:w="0" w:type="auto"/>
            <w:vAlign w:val="center"/>
            <w:hideMark/>
          </w:tcPr>
          <w:p w14:paraId="3CC2FA20" w14:textId="77777777" w:rsidR="004B79B3" w:rsidRPr="006B120C" w:rsidRDefault="004B79B3" w:rsidP="00B716A9">
            <w:r w:rsidRPr="006B120C">
              <w:t>THC</w:t>
            </w:r>
          </w:p>
        </w:tc>
        <w:tc>
          <w:tcPr>
            <w:tcW w:w="0" w:type="auto"/>
            <w:vAlign w:val="center"/>
            <w:hideMark/>
          </w:tcPr>
          <w:p w14:paraId="1F0266AF" w14:textId="77777777" w:rsidR="004B79B3" w:rsidRPr="006B120C" w:rsidRDefault="004B79B3" w:rsidP="00B716A9">
            <w:r w:rsidRPr="006B120C">
              <w:t>28,3 mg/km</w:t>
            </w:r>
          </w:p>
        </w:tc>
      </w:tr>
      <w:tr w:rsidR="004B79B3" w:rsidRPr="006B120C" w14:paraId="750C4531" w14:textId="77777777" w:rsidTr="00B716A9">
        <w:trPr>
          <w:tblCellSpacing w:w="15" w:type="dxa"/>
        </w:trPr>
        <w:tc>
          <w:tcPr>
            <w:tcW w:w="0" w:type="auto"/>
            <w:vAlign w:val="center"/>
            <w:hideMark/>
          </w:tcPr>
          <w:p w14:paraId="78238CCC" w14:textId="77777777" w:rsidR="004B79B3" w:rsidRPr="006B120C" w:rsidRDefault="004B79B3" w:rsidP="00B716A9">
            <w:r w:rsidRPr="006B120C">
              <w:t>NMHC</w:t>
            </w:r>
          </w:p>
        </w:tc>
        <w:tc>
          <w:tcPr>
            <w:tcW w:w="0" w:type="auto"/>
            <w:vAlign w:val="center"/>
            <w:hideMark/>
          </w:tcPr>
          <w:p w14:paraId="06DD5B82" w14:textId="77777777" w:rsidR="004B79B3" w:rsidRPr="006B120C" w:rsidRDefault="004B79B3" w:rsidP="00B716A9">
            <w:r w:rsidRPr="006B120C">
              <w:t>17,9 mg/km</w:t>
            </w:r>
          </w:p>
        </w:tc>
      </w:tr>
      <w:tr w:rsidR="004B79B3" w:rsidRPr="006B120C" w14:paraId="44D02435" w14:textId="77777777" w:rsidTr="00B716A9">
        <w:trPr>
          <w:tblCellSpacing w:w="15" w:type="dxa"/>
        </w:trPr>
        <w:tc>
          <w:tcPr>
            <w:tcW w:w="0" w:type="auto"/>
            <w:vAlign w:val="center"/>
            <w:hideMark/>
          </w:tcPr>
          <w:p w14:paraId="72C76721" w14:textId="77777777" w:rsidR="004B79B3" w:rsidRPr="006B120C" w:rsidRDefault="004B79B3" w:rsidP="00B716A9">
            <w:r w:rsidRPr="006B120C">
              <w:t>NOx</w:t>
            </w:r>
          </w:p>
        </w:tc>
        <w:tc>
          <w:tcPr>
            <w:tcW w:w="0" w:type="auto"/>
            <w:vAlign w:val="center"/>
            <w:hideMark/>
          </w:tcPr>
          <w:p w14:paraId="66CC406B" w14:textId="77777777" w:rsidR="004B79B3" w:rsidRPr="006B120C" w:rsidRDefault="004B79B3" w:rsidP="00B716A9">
            <w:r w:rsidRPr="006B120C">
              <w:t>223,8 mg/km</w:t>
            </w:r>
          </w:p>
        </w:tc>
      </w:tr>
      <w:tr w:rsidR="004B79B3" w:rsidRPr="006B120C" w14:paraId="2F545D36" w14:textId="77777777" w:rsidTr="00B716A9">
        <w:trPr>
          <w:tblCellSpacing w:w="15" w:type="dxa"/>
        </w:trPr>
        <w:tc>
          <w:tcPr>
            <w:tcW w:w="0" w:type="auto"/>
            <w:vAlign w:val="center"/>
            <w:hideMark/>
          </w:tcPr>
          <w:p w14:paraId="0009EF35" w14:textId="77777777" w:rsidR="004B79B3" w:rsidRPr="006B120C" w:rsidRDefault="004B79B3" w:rsidP="00B716A9">
            <w:r w:rsidRPr="006B120C">
              <w:t>THC + NOx</w:t>
            </w:r>
          </w:p>
        </w:tc>
        <w:tc>
          <w:tcPr>
            <w:tcW w:w="0" w:type="auto"/>
            <w:vAlign w:val="center"/>
            <w:hideMark/>
          </w:tcPr>
          <w:p w14:paraId="182A7197" w14:textId="77777777" w:rsidR="004B79B3" w:rsidRPr="006B120C" w:rsidRDefault="004B79B3" w:rsidP="00B716A9">
            <w:r w:rsidRPr="006B120C">
              <w:t>252,1 mg/km</w:t>
            </w:r>
          </w:p>
        </w:tc>
      </w:tr>
      <w:tr w:rsidR="004B79B3" w:rsidRPr="006B120C" w14:paraId="302779B7" w14:textId="77777777" w:rsidTr="00B716A9">
        <w:trPr>
          <w:tblCellSpacing w:w="15" w:type="dxa"/>
        </w:trPr>
        <w:tc>
          <w:tcPr>
            <w:tcW w:w="0" w:type="auto"/>
            <w:vAlign w:val="center"/>
            <w:hideMark/>
          </w:tcPr>
          <w:p w14:paraId="5288C052" w14:textId="77777777" w:rsidR="004B79B3" w:rsidRPr="006B120C" w:rsidRDefault="004B79B3" w:rsidP="00B716A9">
            <w:r w:rsidRPr="006B120C">
              <w:t>Masa de partículas</w:t>
            </w:r>
          </w:p>
        </w:tc>
        <w:tc>
          <w:tcPr>
            <w:tcW w:w="0" w:type="auto"/>
            <w:vAlign w:val="center"/>
            <w:hideMark/>
          </w:tcPr>
          <w:p w14:paraId="6346DA09" w14:textId="77777777" w:rsidR="004B79B3" w:rsidRPr="006B120C" w:rsidRDefault="004B79B3" w:rsidP="00B716A9">
            <w:r w:rsidRPr="006B120C">
              <w:t>1,42 mg/km</w:t>
            </w:r>
          </w:p>
        </w:tc>
      </w:tr>
      <w:tr w:rsidR="004B79B3" w:rsidRPr="006B120C" w14:paraId="3EFE3CE8" w14:textId="77777777" w:rsidTr="00B716A9">
        <w:trPr>
          <w:tblCellSpacing w:w="15" w:type="dxa"/>
        </w:trPr>
        <w:tc>
          <w:tcPr>
            <w:tcW w:w="0" w:type="auto"/>
            <w:vAlign w:val="center"/>
            <w:hideMark/>
          </w:tcPr>
          <w:p w14:paraId="75753147" w14:textId="77777777" w:rsidR="004B79B3" w:rsidRPr="006B120C" w:rsidRDefault="004B79B3" w:rsidP="00B716A9">
            <w:r w:rsidRPr="006B120C">
              <w:t>Número de partículas</w:t>
            </w:r>
          </w:p>
        </w:tc>
        <w:tc>
          <w:tcPr>
            <w:tcW w:w="0" w:type="auto"/>
            <w:vAlign w:val="center"/>
            <w:hideMark/>
          </w:tcPr>
          <w:p w14:paraId="2BF05BCB" w14:textId="77777777" w:rsidR="004B79B3" w:rsidRPr="006B120C" w:rsidRDefault="004B79B3" w:rsidP="00B716A9">
            <w:r w:rsidRPr="006B120C">
              <w:t>0,01 ×10¹² /km</w:t>
            </w:r>
          </w:p>
        </w:tc>
      </w:tr>
      <w:tr w:rsidR="004B79B3" w:rsidRPr="006B120C" w14:paraId="70A91274" w14:textId="77777777" w:rsidTr="00B716A9">
        <w:trPr>
          <w:tblCellSpacing w:w="15" w:type="dxa"/>
        </w:trPr>
        <w:tc>
          <w:tcPr>
            <w:tcW w:w="0" w:type="auto"/>
            <w:vAlign w:val="center"/>
            <w:hideMark/>
          </w:tcPr>
          <w:p w14:paraId="3A737908" w14:textId="48699D6E" w:rsidR="004B79B3" w:rsidRPr="006B120C" w:rsidRDefault="004B79B3" w:rsidP="00040E98">
            <w:r w:rsidRPr="006B120C">
              <w:t>CO</w:t>
            </w:r>
            <w:r w:rsidR="00040E98" w:rsidRPr="00040E98">
              <w:rPr>
                <w:vertAlign w:val="subscript"/>
              </w:rPr>
              <w:t>2</w:t>
            </w:r>
            <w:r w:rsidRPr="006B120C">
              <w:t xml:space="preserve"> medido </w:t>
            </w:r>
          </w:p>
        </w:tc>
        <w:tc>
          <w:tcPr>
            <w:tcW w:w="0" w:type="auto"/>
            <w:vAlign w:val="center"/>
            <w:hideMark/>
          </w:tcPr>
          <w:p w14:paraId="7AF6FF32" w14:textId="13A1948F" w:rsidR="004B79B3" w:rsidRPr="006B120C" w:rsidRDefault="004B79B3" w:rsidP="00B716A9">
            <w:r w:rsidRPr="006B120C">
              <w:t>1</w:t>
            </w:r>
            <w:r w:rsidR="00040E98">
              <w:t>86</w:t>
            </w:r>
            <w:r w:rsidRPr="006B120C">
              <w:t>,35 g/km</w:t>
            </w:r>
          </w:p>
        </w:tc>
      </w:tr>
    </w:tbl>
    <w:p w14:paraId="2135DE8F" w14:textId="2B941EB7" w:rsidR="004B79B3" w:rsidRPr="006B120C" w:rsidRDefault="004B79B3" w:rsidP="004B79B3">
      <w:r w:rsidRPr="006B120C">
        <w:t>El fabricante pretende declarar un valor oficial de CO</w:t>
      </w:r>
      <w:r w:rsidR="00FF4A65" w:rsidRPr="00FF4A65">
        <w:rPr>
          <w:vertAlign w:val="subscript"/>
        </w:rPr>
        <w:t>2</w:t>
      </w:r>
      <w:r w:rsidRPr="006B120C">
        <w:t xml:space="preserve"> de:</w:t>
      </w:r>
    </w:p>
    <w:p w14:paraId="2AA7D583" w14:textId="126CD301" w:rsidR="004B79B3" w:rsidRPr="006B120C" w:rsidRDefault="00FF4A65" w:rsidP="004B79B3">
      <w:pPr>
        <w:numPr>
          <w:ilvl w:val="0"/>
          <w:numId w:val="2"/>
        </w:numPr>
      </w:pPr>
      <w:r>
        <w:t>CO</w:t>
      </w:r>
      <w:r w:rsidRPr="00FF4A65">
        <w:rPr>
          <w:vertAlign w:val="subscript"/>
        </w:rPr>
        <w:t>2</w:t>
      </w:r>
      <w:r w:rsidR="004B79B3" w:rsidRPr="006B120C">
        <w:t xml:space="preserve"> declarado = 188 g/km </w:t>
      </w:r>
    </w:p>
    <w:p w14:paraId="4256CA48" w14:textId="77777777" w:rsidR="00A54CEC" w:rsidRDefault="00A54CEC" w:rsidP="004B79B3"/>
    <w:p w14:paraId="546A177F" w14:textId="77777777" w:rsidR="00A54CEC" w:rsidRDefault="004B79B3" w:rsidP="004B79B3">
      <w:r w:rsidRPr="004C5882">
        <w:t xml:space="preserve">Analizar </w:t>
      </w:r>
      <w:r>
        <w:t xml:space="preserve">estos </w:t>
      </w:r>
      <w:r w:rsidRPr="004C5882">
        <w:t>resultados de emisiones e indicar</w:t>
      </w:r>
      <w:r>
        <w:t xml:space="preserve"> s</w:t>
      </w:r>
      <w:r w:rsidRPr="004C5882">
        <w:t>i el vehículo cumple los límites Euro 6e actualmente aplicables.</w:t>
      </w:r>
      <w:r>
        <w:t xml:space="preserve"> </w:t>
      </w:r>
    </w:p>
    <w:p w14:paraId="03B6D9F6" w14:textId="68206DED" w:rsidR="004B79B3" w:rsidRPr="004C5882" w:rsidRDefault="004B79B3" w:rsidP="004B79B3">
      <w:r w:rsidRPr="004C5882">
        <w:t>Determinar:</w:t>
      </w:r>
    </w:p>
    <w:p w14:paraId="18D45DE7" w14:textId="77777777" w:rsidR="004B79B3" w:rsidRPr="004C5882" w:rsidRDefault="004B79B3" w:rsidP="004B79B3">
      <w:pPr>
        <w:pStyle w:val="Prrafodelista"/>
        <w:numPr>
          <w:ilvl w:val="1"/>
          <w:numId w:val="6"/>
        </w:numPr>
      </w:pPr>
      <w:r w:rsidRPr="004C5882">
        <w:t>Cuántos ensayos serían necesarios para completar la homologación.</w:t>
      </w:r>
    </w:p>
    <w:p w14:paraId="26232EDA" w14:textId="77777777" w:rsidR="004B79B3" w:rsidRDefault="004B79B3" w:rsidP="004B79B3">
      <w:pPr>
        <w:pStyle w:val="Prrafodelista"/>
        <w:numPr>
          <w:ilvl w:val="1"/>
          <w:numId w:val="6"/>
        </w:numPr>
      </w:pPr>
      <w:r w:rsidRPr="004C5882">
        <w:t>En qué casos sería necesaria la repetición de ensayos.</w:t>
      </w:r>
    </w:p>
    <w:p w14:paraId="2EC9230F" w14:textId="77777777" w:rsidR="004B79B3" w:rsidRDefault="004B79B3" w:rsidP="004B79B3"/>
    <w:p w14:paraId="18E2DC12" w14:textId="77777777" w:rsidR="00E938C6" w:rsidRDefault="00E938C6" w:rsidP="007049B4">
      <w:pPr>
        <w:pStyle w:val="Prrafodelista"/>
        <w:ind w:left="0"/>
        <w:jc w:val="both"/>
        <w:rPr>
          <w:b/>
          <w:bCs/>
          <w:sz w:val="24"/>
          <w:szCs w:val="24"/>
          <w:lang w:val="en-GB"/>
        </w:rPr>
        <w:sectPr w:rsidR="00E938C6" w:rsidSect="0059619B">
          <w:headerReference w:type="default" r:id="rId7"/>
          <w:pgSz w:w="11906" w:h="16838"/>
          <w:pgMar w:top="1418" w:right="1588" w:bottom="1418" w:left="1588" w:header="850" w:footer="709" w:gutter="0"/>
          <w:cols w:space="708"/>
          <w:docGrid w:linePitch="360"/>
        </w:sectPr>
      </w:pPr>
    </w:p>
    <w:p w14:paraId="79E87D94" w14:textId="6387757B" w:rsidR="00D75428" w:rsidRDefault="00D75428" w:rsidP="007049B4">
      <w:pPr>
        <w:pStyle w:val="Prrafodelista"/>
        <w:ind w:left="0"/>
        <w:jc w:val="both"/>
        <w:rPr>
          <w:b/>
          <w:bCs/>
          <w:sz w:val="24"/>
          <w:szCs w:val="24"/>
          <w:lang w:val="en-GB"/>
        </w:rPr>
      </w:pPr>
    </w:p>
    <w:p w14:paraId="5EB2EA7D" w14:textId="7A571DAF" w:rsidR="00E938C6" w:rsidRDefault="00E938C6" w:rsidP="007049B4">
      <w:pPr>
        <w:pStyle w:val="Prrafodelista"/>
        <w:ind w:left="0"/>
        <w:jc w:val="both"/>
        <w:rPr>
          <w:b/>
          <w:bCs/>
          <w:sz w:val="24"/>
          <w:szCs w:val="24"/>
          <w:lang w:val="en-GB"/>
        </w:rPr>
      </w:pPr>
      <w:r>
        <w:rPr>
          <w:b/>
          <w:bCs/>
          <w:noProof/>
          <w:sz w:val="24"/>
          <w:szCs w:val="24"/>
          <w:lang w:eastAsia="es-ES"/>
        </w:rPr>
        <w:drawing>
          <wp:inline distT="0" distB="0" distL="0" distR="0" wp14:anchorId="30FCB4FA" wp14:editId="58833A5A">
            <wp:extent cx="8398800" cy="36648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98800" cy="3664800"/>
                    </a:xfrm>
                    <a:prstGeom prst="rect">
                      <a:avLst/>
                    </a:prstGeom>
                    <a:noFill/>
                  </pic:spPr>
                </pic:pic>
              </a:graphicData>
            </a:graphic>
          </wp:inline>
        </w:drawing>
      </w:r>
    </w:p>
    <w:p w14:paraId="7B1AB596" w14:textId="2A0D9346" w:rsidR="00E938C6" w:rsidRDefault="00E938C6" w:rsidP="007049B4">
      <w:pPr>
        <w:pStyle w:val="Prrafodelista"/>
        <w:ind w:left="0"/>
        <w:jc w:val="both"/>
        <w:rPr>
          <w:b/>
          <w:bCs/>
          <w:sz w:val="24"/>
          <w:szCs w:val="24"/>
          <w:lang w:val="en-GB"/>
        </w:rPr>
      </w:pPr>
    </w:p>
    <w:p w14:paraId="65D7BCC5" w14:textId="2071B154" w:rsidR="00E938C6" w:rsidRDefault="00E938C6">
      <w:pPr>
        <w:rPr>
          <w:b/>
          <w:bCs/>
          <w:sz w:val="24"/>
          <w:szCs w:val="24"/>
          <w:lang w:val="en-GB"/>
        </w:rPr>
      </w:pPr>
      <w:r>
        <w:rPr>
          <w:b/>
          <w:bCs/>
          <w:sz w:val="24"/>
          <w:szCs w:val="24"/>
          <w:lang w:val="en-GB"/>
        </w:rPr>
        <w:br w:type="page"/>
      </w:r>
    </w:p>
    <w:p w14:paraId="44AC9C3D" w14:textId="274E09AC" w:rsidR="00E938C6" w:rsidRDefault="00E938C6" w:rsidP="007049B4">
      <w:pPr>
        <w:pStyle w:val="Prrafodelista"/>
        <w:ind w:left="0"/>
        <w:jc w:val="both"/>
        <w:rPr>
          <w:b/>
          <w:bCs/>
          <w:sz w:val="24"/>
          <w:szCs w:val="24"/>
          <w:lang w:val="en-GB"/>
        </w:rPr>
      </w:pPr>
      <w:r>
        <w:rPr>
          <w:b/>
          <w:bCs/>
          <w:noProof/>
          <w:sz w:val="24"/>
          <w:szCs w:val="24"/>
          <w:lang w:eastAsia="es-ES"/>
        </w:rPr>
        <w:lastRenderedPageBreak/>
        <w:drawing>
          <wp:inline distT="0" distB="0" distL="0" distR="0" wp14:anchorId="41C709A0" wp14:editId="0B076092">
            <wp:extent cx="6968490" cy="429196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8490" cy="4291965"/>
                    </a:xfrm>
                    <a:prstGeom prst="rect">
                      <a:avLst/>
                    </a:prstGeom>
                    <a:noFill/>
                  </pic:spPr>
                </pic:pic>
              </a:graphicData>
            </a:graphic>
          </wp:inline>
        </w:drawing>
      </w:r>
    </w:p>
    <w:p w14:paraId="77D5C0C1" w14:textId="5B0B342B" w:rsidR="00E938C6" w:rsidRDefault="00E938C6" w:rsidP="007049B4">
      <w:pPr>
        <w:pStyle w:val="Prrafodelista"/>
        <w:ind w:left="0"/>
        <w:jc w:val="both"/>
        <w:rPr>
          <w:b/>
          <w:bCs/>
          <w:sz w:val="24"/>
          <w:szCs w:val="24"/>
          <w:lang w:val="en-GB"/>
        </w:rPr>
      </w:pPr>
      <w:bookmarkStart w:id="0" w:name="_GoBack"/>
      <w:bookmarkEnd w:id="0"/>
    </w:p>
    <w:p w14:paraId="57DD4CE8" w14:textId="25789D04" w:rsidR="00E938C6" w:rsidRDefault="00E938C6" w:rsidP="007049B4">
      <w:pPr>
        <w:pStyle w:val="Prrafodelista"/>
        <w:ind w:left="0"/>
        <w:jc w:val="both"/>
        <w:rPr>
          <w:b/>
          <w:bCs/>
          <w:sz w:val="24"/>
          <w:szCs w:val="24"/>
          <w:lang w:val="en-GB"/>
        </w:rPr>
      </w:pPr>
      <w:r>
        <w:rPr>
          <w:b/>
          <w:bCs/>
          <w:noProof/>
          <w:sz w:val="24"/>
          <w:szCs w:val="24"/>
          <w:lang w:eastAsia="es-ES"/>
        </w:rPr>
        <w:lastRenderedPageBreak/>
        <w:drawing>
          <wp:inline distT="0" distB="0" distL="0" distR="0" wp14:anchorId="19DFEA0B" wp14:editId="6CE53A6F">
            <wp:extent cx="6901180" cy="16033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01180" cy="1603375"/>
                    </a:xfrm>
                    <a:prstGeom prst="rect">
                      <a:avLst/>
                    </a:prstGeom>
                    <a:noFill/>
                  </pic:spPr>
                </pic:pic>
              </a:graphicData>
            </a:graphic>
          </wp:inline>
        </w:drawing>
      </w:r>
    </w:p>
    <w:p w14:paraId="1FAB7D8E" w14:textId="77777777" w:rsidR="00E938C6" w:rsidRPr="005C264A" w:rsidRDefault="00E938C6" w:rsidP="007049B4">
      <w:pPr>
        <w:pStyle w:val="Prrafodelista"/>
        <w:ind w:left="0"/>
        <w:jc w:val="both"/>
        <w:rPr>
          <w:b/>
          <w:bCs/>
          <w:sz w:val="24"/>
          <w:szCs w:val="24"/>
          <w:lang w:val="en-GB"/>
        </w:rPr>
      </w:pPr>
    </w:p>
    <w:sectPr w:rsidR="00E938C6" w:rsidRPr="005C264A" w:rsidSect="00E938C6">
      <w:pgSz w:w="16838" w:h="11906" w:orient="landscape"/>
      <w:pgMar w:top="1588" w:right="1418" w:bottom="1588" w:left="141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964ED" w14:textId="77777777" w:rsidR="005C264A" w:rsidRDefault="005C264A" w:rsidP="005C264A">
      <w:pPr>
        <w:spacing w:after="0" w:line="240" w:lineRule="auto"/>
      </w:pPr>
      <w:r>
        <w:separator/>
      </w:r>
    </w:p>
  </w:endnote>
  <w:endnote w:type="continuationSeparator" w:id="0">
    <w:p w14:paraId="0A73B398" w14:textId="77777777" w:rsidR="005C264A" w:rsidRDefault="005C264A" w:rsidP="005C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5F616" w14:textId="77777777" w:rsidR="005C264A" w:rsidRDefault="005C264A" w:rsidP="005C264A">
      <w:pPr>
        <w:spacing w:after="0" w:line="240" w:lineRule="auto"/>
      </w:pPr>
      <w:r>
        <w:separator/>
      </w:r>
    </w:p>
  </w:footnote>
  <w:footnote w:type="continuationSeparator" w:id="0">
    <w:p w14:paraId="18A11652" w14:textId="77777777" w:rsidR="005C264A" w:rsidRDefault="005C264A" w:rsidP="005C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487"/>
      <w:gridCol w:w="2261"/>
      <w:gridCol w:w="972"/>
    </w:tblGrid>
    <w:tr w:rsidR="005C264A" w14:paraId="48B2EAE5" w14:textId="77777777" w:rsidTr="00184071">
      <w:tc>
        <w:tcPr>
          <w:tcW w:w="5524" w:type="dxa"/>
        </w:tcPr>
        <w:p w14:paraId="55CC6780" w14:textId="7E9373B2" w:rsidR="005C264A" w:rsidRPr="00184071" w:rsidRDefault="00184071" w:rsidP="00184071">
          <w:pPr>
            <w:pStyle w:val="Encabezado"/>
            <w:jc w:val="both"/>
            <w:rPr>
              <w:color w:val="0070C0"/>
              <w:sz w:val="16"/>
              <w:szCs w:val="16"/>
            </w:rPr>
          </w:pPr>
          <w:r w:rsidRPr="00184071">
            <w:rPr>
              <w:color w:val="0070C0"/>
              <w:sz w:val="16"/>
              <w:szCs w:val="16"/>
            </w:rPr>
            <w:t>Pruebas selectivas para ingreso, por el sistema de promoción interna, en la Escala de Técnicos Superiores Especializados de los Organismos Públicos de Investigación, convocadas por resolución de 26 de diciembre de 2025, de la Subsecretaría del Ministerio de Ciencia e Innovación (BOE núm. 314 de 30 de diciembre de 2025)</w:t>
          </w:r>
        </w:p>
      </w:tc>
      <w:tc>
        <w:tcPr>
          <w:tcW w:w="2268" w:type="dxa"/>
        </w:tcPr>
        <w:p w14:paraId="1384740B" w14:textId="77777777" w:rsidR="00184071" w:rsidRPr="00184071" w:rsidRDefault="00184071" w:rsidP="00184071">
          <w:pPr>
            <w:pStyle w:val="Encabezado"/>
            <w:jc w:val="both"/>
            <w:rPr>
              <w:color w:val="0070C0"/>
              <w:sz w:val="16"/>
              <w:szCs w:val="16"/>
            </w:rPr>
          </w:pPr>
          <w:r w:rsidRPr="00184071">
            <w:rPr>
              <w:color w:val="0070C0"/>
              <w:sz w:val="16"/>
              <w:szCs w:val="16"/>
            </w:rPr>
            <w:t xml:space="preserve">Tribunal Calificador Nº 9 </w:t>
          </w:r>
        </w:p>
        <w:p w14:paraId="411E014C" w14:textId="77777777" w:rsidR="005C264A" w:rsidRDefault="00184071" w:rsidP="00184071">
          <w:pPr>
            <w:pStyle w:val="Encabezado"/>
            <w:jc w:val="both"/>
            <w:rPr>
              <w:color w:val="0070C0"/>
              <w:sz w:val="16"/>
              <w:szCs w:val="16"/>
            </w:rPr>
          </w:pPr>
          <w:r w:rsidRPr="00184071">
            <w:rPr>
              <w:color w:val="0070C0"/>
              <w:sz w:val="16"/>
              <w:szCs w:val="16"/>
            </w:rPr>
            <w:t>(Área Global A9 - Tecnología Aeroespacial, Naval y de Defensa)</w:t>
          </w:r>
        </w:p>
        <w:p w14:paraId="1DAB8819" w14:textId="15F06793" w:rsidR="00184071" w:rsidRPr="00184071" w:rsidRDefault="00184071" w:rsidP="00184071">
          <w:pPr>
            <w:pStyle w:val="Encabezado"/>
            <w:jc w:val="both"/>
            <w:rPr>
              <w:b/>
              <w:color w:val="0070C0"/>
            </w:rPr>
          </w:pPr>
          <w:r w:rsidRPr="00184071">
            <w:rPr>
              <w:b/>
              <w:color w:val="0070C0"/>
              <w:sz w:val="16"/>
              <w:szCs w:val="16"/>
            </w:rPr>
            <w:t>Área Especialización: T2</w:t>
          </w:r>
        </w:p>
      </w:tc>
      <w:tc>
        <w:tcPr>
          <w:tcW w:w="928" w:type="dxa"/>
        </w:tcPr>
        <w:p w14:paraId="5B8B4319" w14:textId="77777777" w:rsidR="005C264A" w:rsidRPr="00965F1C" w:rsidRDefault="00965F1C" w:rsidP="00965F1C">
          <w:pPr>
            <w:pStyle w:val="Encabezado"/>
            <w:spacing w:before="120"/>
            <w:jc w:val="center"/>
            <w:rPr>
              <w:color w:val="0070C0"/>
              <w:sz w:val="20"/>
              <w:szCs w:val="20"/>
            </w:rPr>
          </w:pPr>
          <w:r w:rsidRPr="00965F1C">
            <w:rPr>
              <w:color w:val="0070C0"/>
              <w:sz w:val="20"/>
              <w:szCs w:val="20"/>
            </w:rPr>
            <w:t>Ejercicio nº 3</w:t>
          </w:r>
        </w:p>
        <w:p w14:paraId="5890DE74" w14:textId="258E6FC1" w:rsidR="00965F1C" w:rsidRPr="00184071" w:rsidRDefault="00965F1C" w:rsidP="00965F1C">
          <w:pPr>
            <w:pStyle w:val="Encabezado"/>
            <w:spacing w:before="120"/>
            <w:jc w:val="center"/>
            <w:rPr>
              <w:color w:val="0070C0"/>
              <w:sz w:val="16"/>
              <w:szCs w:val="16"/>
            </w:rPr>
          </w:pPr>
          <w:r w:rsidRPr="00965F1C">
            <w:rPr>
              <w:color w:val="0070C0"/>
              <w:sz w:val="20"/>
              <w:szCs w:val="20"/>
            </w:rPr>
            <w:t>S.P. 1</w:t>
          </w:r>
        </w:p>
      </w:tc>
    </w:tr>
  </w:tbl>
  <w:p w14:paraId="7D25FB01" w14:textId="77777777" w:rsidR="005C264A" w:rsidRDefault="005C26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46B"/>
    <w:multiLevelType w:val="hybridMultilevel"/>
    <w:tmpl w:val="17EE53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5B0445"/>
    <w:multiLevelType w:val="multilevel"/>
    <w:tmpl w:val="F344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77037"/>
    <w:multiLevelType w:val="multilevel"/>
    <w:tmpl w:val="99A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E1D67"/>
    <w:multiLevelType w:val="hybridMultilevel"/>
    <w:tmpl w:val="3E56BDD2"/>
    <w:lvl w:ilvl="0" w:tplc="3C4A2B9A">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33E1FC9"/>
    <w:multiLevelType w:val="multilevel"/>
    <w:tmpl w:val="2BD6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B5281"/>
    <w:multiLevelType w:val="multilevel"/>
    <w:tmpl w:val="DBAA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C5"/>
    <w:rsid w:val="00040E98"/>
    <w:rsid w:val="0007683C"/>
    <w:rsid w:val="00103420"/>
    <w:rsid w:val="00184071"/>
    <w:rsid w:val="001B55CC"/>
    <w:rsid w:val="001C75A4"/>
    <w:rsid w:val="001E65A6"/>
    <w:rsid w:val="002208F5"/>
    <w:rsid w:val="002315E6"/>
    <w:rsid w:val="0027236A"/>
    <w:rsid w:val="00306E0C"/>
    <w:rsid w:val="0046125F"/>
    <w:rsid w:val="00462204"/>
    <w:rsid w:val="004B79B3"/>
    <w:rsid w:val="00570BF6"/>
    <w:rsid w:val="0059619B"/>
    <w:rsid w:val="005A68CD"/>
    <w:rsid w:val="005B5FDD"/>
    <w:rsid w:val="005C264A"/>
    <w:rsid w:val="005C2E64"/>
    <w:rsid w:val="007049B4"/>
    <w:rsid w:val="00787FC5"/>
    <w:rsid w:val="007B2F42"/>
    <w:rsid w:val="00965F1C"/>
    <w:rsid w:val="009800B6"/>
    <w:rsid w:val="009B36F1"/>
    <w:rsid w:val="00A54CEC"/>
    <w:rsid w:val="00BE5CC0"/>
    <w:rsid w:val="00C056F2"/>
    <w:rsid w:val="00D75428"/>
    <w:rsid w:val="00E938C6"/>
    <w:rsid w:val="00EC46C7"/>
    <w:rsid w:val="00F83202"/>
    <w:rsid w:val="00F90231"/>
    <w:rsid w:val="00FE43DD"/>
    <w:rsid w:val="00FF4A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274C85F"/>
  <w15:chartTrackingRefBased/>
  <w15:docId w15:val="{D6DF163D-9CA4-4B9B-9B33-F97C5B8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A65"/>
  </w:style>
  <w:style w:type="paragraph" w:styleId="Ttulo1">
    <w:name w:val="heading 1"/>
    <w:basedOn w:val="Normal"/>
    <w:next w:val="Normal"/>
    <w:link w:val="Ttulo1Car"/>
    <w:uiPriority w:val="9"/>
    <w:qFormat/>
    <w:rsid w:val="00787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7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7F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7F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7F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7F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7F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7F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7F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7F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7F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7F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7F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7F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7F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7F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7F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7FC5"/>
    <w:rPr>
      <w:rFonts w:eastAsiaTheme="majorEastAsia" w:cstheme="majorBidi"/>
      <w:color w:val="272727" w:themeColor="text1" w:themeTint="D8"/>
    </w:rPr>
  </w:style>
  <w:style w:type="paragraph" w:styleId="Ttulo">
    <w:name w:val="Title"/>
    <w:basedOn w:val="Normal"/>
    <w:next w:val="Normal"/>
    <w:link w:val="TtuloCar"/>
    <w:uiPriority w:val="10"/>
    <w:qFormat/>
    <w:rsid w:val="00787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7F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7F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7F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7FC5"/>
    <w:pPr>
      <w:spacing w:before="160"/>
      <w:jc w:val="center"/>
    </w:pPr>
    <w:rPr>
      <w:i/>
      <w:iCs/>
      <w:color w:val="404040" w:themeColor="text1" w:themeTint="BF"/>
    </w:rPr>
  </w:style>
  <w:style w:type="character" w:customStyle="1" w:styleId="CitaCar">
    <w:name w:val="Cita Car"/>
    <w:basedOn w:val="Fuentedeprrafopredeter"/>
    <w:link w:val="Cita"/>
    <w:uiPriority w:val="29"/>
    <w:rsid w:val="00787FC5"/>
    <w:rPr>
      <w:i/>
      <w:iCs/>
      <w:color w:val="404040" w:themeColor="text1" w:themeTint="BF"/>
    </w:rPr>
  </w:style>
  <w:style w:type="paragraph" w:styleId="Prrafodelista">
    <w:name w:val="List Paragraph"/>
    <w:basedOn w:val="Normal"/>
    <w:uiPriority w:val="34"/>
    <w:qFormat/>
    <w:rsid w:val="00787FC5"/>
    <w:pPr>
      <w:ind w:left="720"/>
      <w:contextualSpacing/>
    </w:pPr>
  </w:style>
  <w:style w:type="character" w:styleId="nfasisintenso">
    <w:name w:val="Intense Emphasis"/>
    <w:basedOn w:val="Fuentedeprrafopredeter"/>
    <w:uiPriority w:val="21"/>
    <w:qFormat/>
    <w:rsid w:val="00787FC5"/>
    <w:rPr>
      <w:i/>
      <w:iCs/>
      <w:color w:val="0F4761" w:themeColor="accent1" w:themeShade="BF"/>
    </w:rPr>
  </w:style>
  <w:style w:type="paragraph" w:styleId="Citadestacada">
    <w:name w:val="Intense Quote"/>
    <w:basedOn w:val="Normal"/>
    <w:next w:val="Normal"/>
    <w:link w:val="CitadestacadaCar"/>
    <w:uiPriority w:val="30"/>
    <w:qFormat/>
    <w:rsid w:val="00787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7FC5"/>
    <w:rPr>
      <w:i/>
      <w:iCs/>
      <w:color w:val="0F4761" w:themeColor="accent1" w:themeShade="BF"/>
    </w:rPr>
  </w:style>
  <w:style w:type="character" w:styleId="Referenciaintensa">
    <w:name w:val="Intense Reference"/>
    <w:basedOn w:val="Fuentedeprrafopredeter"/>
    <w:uiPriority w:val="32"/>
    <w:qFormat/>
    <w:rsid w:val="00787FC5"/>
    <w:rPr>
      <w:b/>
      <w:bCs/>
      <w:smallCaps/>
      <w:color w:val="0F4761" w:themeColor="accent1" w:themeShade="BF"/>
      <w:spacing w:val="5"/>
    </w:rPr>
  </w:style>
  <w:style w:type="paragraph" w:styleId="Encabezado">
    <w:name w:val="header"/>
    <w:basedOn w:val="Normal"/>
    <w:link w:val="EncabezadoCar"/>
    <w:uiPriority w:val="99"/>
    <w:unhideWhenUsed/>
    <w:rsid w:val="005C26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264A"/>
  </w:style>
  <w:style w:type="paragraph" w:styleId="Piedepgina">
    <w:name w:val="footer"/>
    <w:basedOn w:val="Normal"/>
    <w:link w:val="PiedepginaCar"/>
    <w:uiPriority w:val="99"/>
    <w:unhideWhenUsed/>
    <w:rsid w:val="005C26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264A"/>
  </w:style>
  <w:style w:type="table" w:styleId="Tablaconcuadrcula">
    <w:name w:val="Table Grid"/>
    <w:basedOn w:val="Tablanormal"/>
    <w:uiPriority w:val="39"/>
    <w:rsid w:val="005C2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294</Words>
  <Characters>1620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 Mosquera Vazquez</dc:creator>
  <cp:keywords/>
  <dc:description/>
  <cp:lastModifiedBy>Eduardo de Miguel Llanes</cp:lastModifiedBy>
  <cp:revision>14</cp:revision>
  <dcterms:created xsi:type="dcterms:W3CDTF">2026-06-10T10:31:00Z</dcterms:created>
  <dcterms:modified xsi:type="dcterms:W3CDTF">2026-06-17T13:58:00Z</dcterms:modified>
</cp:coreProperties>
</file>